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17F0" w:rsidRDefault="001F17F0" w:rsidP="001F17F0">
      <w:pPr>
        <w:pStyle w:val="HlavikaZL"/>
      </w:pPr>
      <w:bookmarkStart w:id="0" w:name="_GoBack"/>
      <w:bookmarkEnd w:id="0"/>
      <w:r>
        <w:t xml:space="preserve">Dodatek č. </w:t>
      </w:r>
      <w:r w:rsidR="006B68CD">
        <w:t>6</w:t>
      </w:r>
      <w:r>
        <w:t xml:space="preserve"> </w:t>
      </w:r>
    </w:p>
    <w:p w:rsidR="001F17F0" w:rsidRDefault="001F17F0" w:rsidP="001F17F0">
      <w:pPr>
        <w:pStyle w:val="HlavikaZL"/>
      </w:pPr>
      <w:r>
        <w:t xml:space="preserve">ke zřizovací listině č. j. </w:t>
      </w:r>
      <w:r>
        <w:rPr>
          <w:noProof/>
        </w:rPr>
        <w:t>1625/2001</w:t>
      </w:r>
      <w:r>
        <w:t xml:space="preserve">  ze dne 28. </w:t>
      </w:r>
      <w:r>
        <w:rPr>
          <w:noProof/>
        </w:rPr>
        <w:t>9. 2001</w:t>
      </w:r>
      <w:r>
        <w:t xml:space="preserve"> ve znění dodatku č. 1 č. j. </w:t>
      </w:r>
      <w:r>
        <w:rPr>
          <w:noProof/>
        </w:rPr>
        <w:t>5709/2001</w:t>
      </w:r>
      <w:r>
        <w:t xml:space="preserve"> ze dne 21. </w:t>
      </w:r>
      <w:r>
        <w:rPr>
          <w:noProof/>
        </w:rPr>
        <w:t>12. 2001</w:t>
      </w:r>
      <w:r>
        <w:t xml:space="preserve">, dodatku č. 2 č. j. </w:t>
      </w:r>
      <w:r>
        <w:rPr>
          <w:noProof/>
        </w:rPr>
        <w:t>17206/2002</w:t>
      </w:r>
      <w:r>
        <w:t xml:space="preserve"> ze dne 28. </w:t>
      </w:r>
      <w:r>
        <w:rPr>
          <w:noProof/>
        </w:rPr>
        <w:t>11. 2002</w:t>
      </w:r>
      <w:r>
        <w:t xml:space="preserve">, dodatku č. 3 č. j. </w:t>
      </w:r>
      <w:r>
        <w:rPr>
          <w:noProof/>
        </w:rPr>
        <w:t>9801/2003</w:t>
      </w:r>
      <w:r>
        <w:t xml:space="preserve"> ze dne 19. </w:t>
      </w:r>
      <w:r>
        <w:rPr>
          <w:noProof/>
        </w:rPr>
        <w:t>6. 2003, dodatku č. 4 č. j. KUOK/22783/05/OŠMT/572 ze dne 24. 6. 2005</w:t>
      </w:r>
      <w:r w:rsidR="00FE5BF7">
        <w:rPr>
          <w:noProof/>
        </w:rPr>
        <w:t xml:space="preserve">, </w:t>
      </w:r>
      <w:r w:rsidR="00FE5BF7">
        <w:t>dodatku č. 5 č. j. KUOK 93939/2009 ze dne 25. 9. 2009</w:t>
      </w:r>
      <w:r>
        <w:t xml:space="preserve"> </w:t>
      </w:r>
    </w:p>
    <w:p w:rsidR="001F17F0" w:rsidRDefault="001F17F0" w:rsidP="001F17F0">
      <w:pPr>
        <w:pStyle w:val="Bntext-odsazendole"/>
      </w:pPr>
      <w:r>
        <w:t>Olomoucký kraj v souladu s ustanovením § 27 zákona č. 250/2000 Sb., o rozpočtových pravidlech územních rozpočtů a v souladu s ustanovením § 59 odst. 1 písm. i) zákona č. 129/2000 Sb., o krajích (krajské zřízení) v platném znění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1F17F0" w:rsidTr="001F17F0">
        <w:tc>
          <w:tcPr>
            <w:tcW w:w="2808" w:type="dxa"/>
            <w:hideMark/>
          </w:tcPr>
          <w:p w:rsidR="001F17F0" w:rsidRDefault="001F17F0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hideMark/>
          </w:tcPr>
          <w:p w:rsidR="001F17F0" w:rsidRDefault="001F17F0">
            <w:pPr>
              <w:pStyle w:val="Nzevkoly-tab"/>
            </w:pPr>
            <w:r>
              <w:rPr>
                <w:noProof/>
              </w:rPr>
              <w:t>Střední průmyslová škola, Přerov, Havlíčkova 2</w:t>
            </w:r>
          </w:p>
        </w:tc>
      </w:tr>
      <w:tr w:rsidR="001F17F0" w:rsidTr="001F17F0">
        <w:tc>
          <w:tcPr>
            <w:tcW w:w="2808" w:type="dxa"/>
            <w:hideMark/>
          </w:tcPr>
          <w:p w:rsidR="001F17F0" w:rsidRDefault="001F17F0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hideMark/>
          </w:tcPr>
          <w:p w:rsidR="001F17F0" w:rsidRDefault="001F17F0">
            <w:pPr>
              <w:pStyle w:val="Nzevkoly-tab"/>
            </w:pPr>
            <w:r>
              <w:rPr>
                <w:noProof/>
              </w:rPr>
              <w:t>751 52 Přerov, Havlíčkova 2</w:t>
            </w:r>
          </w:p>
        </w:tc>
      </w:tr>
      <w:tr w:rsidR="001F17F0" w:rsidTr="001F17F0">
        <w:tc>
          <w:tcPr>
            <w:tcW w:w="2808" w:type="dxa"/>
            <w:hideMark/>
          </w:tcPr>
          <w:p w:rsidR="001F17F0" w:rsidRDefault="001F17F0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hideMark/>
          </w:tcPr>
          <w:p w:rsidR="001F17F0" w:rsidRDefault="001F17F0">
            <w:pPr>
              <w:pStyle w:val="Nzevkoly-tab"/>
            </w:pPr>
            <w:r>
              <w:rPr>
                <w:noProof/>
              </w:rPr>
              <w:t>70259925</w:t>
            </w:r>
          </w:p>
        </w:tc>
      </w:tr>
    </w:tbl>
    <w:p w:rsidR="001F17F0" w:rsidRDefault="001F17F0" w:rsidP="001F17F0">
      <w:pPr>
        <w:pStyle w:val="Bnstylodsazennahoe"/>
        <w:rPr>
          <w:rFonts w:cs="Arial"/>
        </w:rPr>
      </w:pPr>
      <w:r>
        <w:t>v tomto znění:</w:t>
      </w:r>
      <w:r>
        <w:rPr>
          <w:rFonts w:cs="Arial"/>
        </w:rPr>
        <w:t xml:space="preserve"> 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648"/>
        <w:gridCol w:w="8564"/>
      </w:tblGrid>
      <w:tr w:rsidR="001F17F0" w:rsidTr="001F17F0">
        <w:tc>
          <w:tcPr>
            <w:tcW w:w="9212" w:type="dxa"/>
            <w:gridSpan w:val="2"/>
            <w:hideMark/>
          </w:tcPr>
          <w:p w:rsidR="001F17F0" w:rsidRDefault="001F17F0">
            <w:pPr>
              <w:spacing w:after="1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VI.</w:t>
            </w:r>
          </w:p>
        </w:tc>
      </w:tr>
      <w:tr w:rsidR="001F17F0" w:rsidTr="001F17F0">
        <w:tc>
          <w:tcPr>
            <w:tcW w:w="9212" w:type="dxa"/>
            <w:gridSpan w:val="2"/>
            <w:hideMark/>
          </w:tcPr>
          <w:p w:rsidR="001F17F0" w:rsidRDefault="001F17F0">
            <w:pPr>
              <w:pStyle w:val="Zkladntext3"/>
              <w:jc w:val="center"/>
              <w:rPr>
                <w:rFonts w:cs="Arial"/>
                <w:b/>
                <w:szCs w:val="24"/>
              </w:rPr>
            </w:pPr>
            <w:r>
              <w:rPr>
                <w:b/>
              </w:rPr>
              <w:t>Okruhy doplňkové činnosti</w:t>
            </w:r>
          </w:p>
        </w:tc>
      </w:tr>
      <w:tr w:rsidR="001F17F0" w:rsidTr="001F17F0">
        <w:tc>
          <w:tcPr>
            <w:tcW w:w="648" w:type="dxa"/>
            <w:hideMark/>
          </w:tcPr>
          <w:p w:rsidR="001F17F0" w:rsidRDefault="001F17F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8564" w:type="dxa"/>
            <w:hideMark/>
          </w:tcPr>
          <w:p w:rsidR="001F17F0" w:rsidRDefault="001F17F0">
            <w:pPr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 lepšímu využití svých hospodářských možností a odborností svých zaměstnanců zřizovatel povoluje vykonávat příspěvkové organizaci tyto doplňkové činnosti:</w:t>
            </w:r>
          </w:p>
        </w:tc>
      </w:tr>
      <w:tr w:rsidR="001F17F0" w:rsidTr="001F17F0">
        <w:tc>
          <w:tcPr>
            <w:tcW w:w="648" w:type="dxa"/>
            <w:hideMark/>
          </w:tcPr>
          <w:p w:rsidR="001F17F0" w:rsidRDefault="001F17F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8564" w:type="dxa"/>
            <w:hideMark/>
          </w:tcPr>
          <w:p w:rsidR="001F17F0" w:rsidRDefault="001F17F0">
            <w:pPr>
              <w:pStyle w:val="Odrky"/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pronájem nemovitého majetku, včetně poskytování služeb zajišťujících jejich řádný provoz </w:t>
            </w:r>
          </w:p>
          <w:p w:rsidR="001F17F0" w:rsidRPr="00B06B1B" w:rsidRDefault="001F17F0">
            <w:pPr>
              <w:pStyle w:val="Odrky"/>
              <w:numPr>
                <w:ilvl w:val="0"/>
                <w:numId w:val="0"/>
              </w:numPr>
              <w:tabs>
                <w:tab w:val="left" w:pos="708"/>
              </w:tabs>
              <w:ind w:left="680"/>
              <w:rPr>
                <w:rFonts w:cs="Arial"/>
              </w:rPr>
            </w:pPr>
            <w:r w:rsidRPr="00B06B1B">
              <w:rPr>
                <w:rFonts w:cs="Arial"/>
              </w:rPr>
              <w:t>Výroba, obchod a služby neuvedené v přílohách 1-3 ŽZ</w:t>
            </w:r>
          </w:p>
          <w:p w:rsidR="001F17F0" w:rsidRDefault="001F17F0">
            <w:pPr>
              <w:pStyle w:val="Odrky"/>
              <w:jc w:val="both"/>
              <w:rPr>
                <w:rFonts w:cs="Arial"/>
              </w:rPr>
            </w:pPr>
            <w:r>
              <w:rPr>
                <w:rFonts w:cs="Arial"/>
              </w:rPr>
              <w:t>mimoškolní výchova a vzdělávání, pořádání kurzů, školení včetně lektorské činnosti</w:t>
            </w:r>
          </w:p>
          <w:p w:rsidR="001F17F0" w:rsidRPr="001F17F0" w:rsidRDefault="001F17F0">
            <w:pPr>
              <w:pStyle w:val="Odrky"/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>testování, měření, analýzy a kontroly</w:t>
            </w:r>
          </w:p>
          <w:p w:rsidR="001F17F0" w:rsidRDefault="001F17F0">
            <w:pPr>
              <w:pStyle w:val="Odrky"/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>poskytování technických služeb</w:t>
            </w:r>
          </w:p>
        </w:tc>
      </w:tr>
      <w:tr w:rsidR="001F17F0" w:rsidTr="001F17F0">
        <w:tc>
          <w:tcPr>
            <w:tcW w:w="648" w:type="dxa"/>
            <w:hideMark/>
          </w:tcPr>
          <w:p w:rsidR="001F17F0" w:rsidRDefault="001F17F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  <w:tc>
          <w:tcPr>
            <w:tcW w:w="8564" w:type="dxa"/>
            <w:hideMark/>
          </w:tcPr>
          <w:p w:rsidR="001F17F0" w:rsidRDefault="001F17F0">
            <w:pPr>
              <w:pStyle w:val="Bnstylodsazennahoe"/>
              <w:spacing w:before="0" w:after="0"/>
              <w:rPr>
                <w:rFonts w:cs="Arial"/>
              </w:rPr>
            </w:pPr>
            <w:r>
              <w:rPr>
                <w:rFonts w:cs="Arial"/>
              </w:rPr>
              <w:t>Podmínkou pro realizaci doplňkové činnosti je:</w:t>
            </w:r>
          </w:p>
          <w:p w:rsidR="001F17F0" w:rsidRDefault="001F17F0">
            <w:pPr>
              <w:pStyle w:val="Odrky"/>
              <w:rPr>
                <w:rFonts w:cs="Arial"/>
              </w:rPr>
            </w:pPr>
            <w:r>
              <w:rPr>
                <w:rFonts w:cs="Arial"/>
              </w:rPr>
              <w:t>doplňková činnost nesmí narušovat plnění hlavního účelu organizace</w:t>
            </w:r>
          </w:p>
          <w:p w:rsidR="001F17F0" w:rsidRDefault="001F17F0">
            <w:pPr>
              <w:pStyle w:val="Odrky"/>
              <w:rPr>
                <w:rFonts w:cs="Arial"/>
              </w:rPr>
            </w:pPr>
            <w:r>
              <w:rPr>
                <w:rFonts w:cs="Arial"/>
              </w:rPr>
              <w:t>doplňková činnost je sledována odděleně od činnosti hlavní</w:t>
            </w:r>
          </w:p>
        </w:tc>
      </w:tr>
      <w:tr w:rsidR="001F17F0" w:rsidTr="001F17F0">
        <w:tc>
          <w:tcPr>
            <w:tcW w:w="648" w:type="dxa"/>
            <w:hideMark/>
          </w:tcPr>
          <w:p w:rsidR="001F17F0" w:rsidRDefault="001F17F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8564" w:type="dxa"/>
            <w:hideMark/>
          </w:tcPr>
          <w:p w:rsidR="001F17F0" w:rsidRDefault="001F17F0" w:rsidP="006B68C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Finanční hospodaření při doplňkové činnosti se řídí ustanovením § 28 odst. 5 zákona č. 250/2000 Sb., o rozpočtových pravidlech územních rozpočtů.</w:t>
            </w:r>
          </w:p>
        </w:tc>
      </w:tr>
      <w:tr w:rsidR="001F17F0" w:rsidTr="001F17F0">
        <w:tc>
          <w:tcPr>
            <w:tcW w:w="648" w:type="dxa"/>
            <w:hideMark/>
          </w:tcPr>
          <w:p w:rsidR="001F17F0" w:rsidRDefault="001F17F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8564" w:type="dxa"/>
            <w:hideMark/>
          </w:tcPr>
          <w:p w:rsidR="001F17F0" w:rsidRDefault="001F17F0">
            <w:pPr>
              <w:pStyle w:val="Bnstylodsazennahoe"/>
              <w:spacing w:before="0" w:after="120"/>
              <w:rPr>
                <w:rFonts w:cs="Arial"/>
              </w:rPr>
            </w:pPr>
            <w:r>
              <w:rPr>
                <w:rFonts w:cs="Arial"/>
              </w:rPr>
              <w:t>Jednorázové (náhodné činnosti) nesouvisející s hlavním účelem a předmětem činnosti se vykazují v doplňkové činnosti.</w:t>
            </w:r>
          </w:p>
        </w:tc>
      </w:tr>
    </w:tbl>
    <w:p w:rsidR="001F17F0" w:rsidRDefault="001F17F0" w:rsidP="001F17F0">
      <w:pPr>
        <w:pStyle w:val="HlavikaZL"/>
        <w:jc w:val="both"/>
        <w:rPr>
          <w:b w:val="0"/>
        </w:rPr>
      </w:pPr>
    </w:p>
    <w:p w:rsidR="001F17F0" w:rsidRDefault="001F17F0" w:rsidP="001F17F0">
      <w:pPr>
        <w:pStyle w:val="HlavikaZL"/>
        <w:jc w:val="both"/>
        <w:rPr>
          <w:b w:val="0"/>
        </w:rPr>
      </w:pPr>
      <w:r>
        <w:rPr>
          <w:b w:val="0"/>
        </w:rPr>
        <w:t xml:space="preserve">V ostatních částech zůstává zřizovací listina č. j. </w:t>
      </w:r>
      <w:r>
        <w:rPr>
          <w:b w:val="0"/>
          <w:noProof/>
        </w:rPr>
        <w:t>1625/2001</w:t>
      </w:r>
      <w:r>
        <w:rPr>
          <w:b w:val="0"/>
        </w:rPr>
        <w:t xml:space="preserve"> ze dne 28. </w:t>
      </w:r>
      <w:r>
        <w:rPr>
          <w:b w:val="0"/>
          <w:noProof/>
        </w:rPr>
        <w:t>9. 2001</w:t>
      </w:r>
      <w:r>
        <w:rPr>
          <w:b w:val="0"/>
        </w:rPr>
        <w:t xml:space="preserve"> ve znění dodatku č. 1 č. j. </w:t>
      </w:r>
      <w:r>
        <w:rPr>
          <w:b w:val="0"/>
          <w:noProof/>
        </w:rPr>
        <w:t>5709/2001</w:t>
      </w:r>
      <w:r>
        <w:rPr>
          <w:b w:val="0"/>
        </w:rPr>
        <w:t xml:space="preserve"> ze dne 21. </w:t>
      </w:r>
      <w:r>
        <w:rPr>
          <w:b w:val="0"/>
          <w:noProof/>
        </w:rPr>
        <w:t>12. 2001</w:t>
      </w:r>
      <w:r>
        <w:rPr>
          <w:b w:val="0"/>
        </w:rPr>
        <w:t xml:space="preserve">, dodatku č. 2 č. j. </w:t>
      </w:r>
      <w:r>
        <w:rPr>
          <w:b w:val="0"/>
          <w:noProof/>
        </w:rPr>
        <w:t>17206/2002</w:t>
      </w:r>
      <w:r>
        <w:rPr>
          <w:b w:val="0"/>
        </w:rPr>
        <w:t xml:space="preserve"> ze dne 28. </w:t>
      </w:r>
      <w:r>
        <w:rPr>
          <w:b w:val="0"/>
          <w:noProof/>
        </w:rPr>
        <w:t>11. 2002</w:t>
      </w:r>
      <w:r>
        <w:rPr>
          <w:b w:val="0"/>
        </w:rPr>
        <w:t xml:space="preserve">, dodatku č. 3 č. j. </w:t>
      </w:r>
      <w:r>
        <w:rPr>
          <w:b w:val="0"/>
          <w:noProof/>
        </w:rPr>
        <w:t>9801/2003</w:t>
      </w:r>
      <w:r>
        <w:rPr>
          <w:b w:val="0"/>
        </w:rPr>
        <w:t xml:space="preserve"> ze dne 19. </w:t>
      </w:r>
      <w:r>
        <w:rPr>
          <w:b w:val="0"/>
          <w:noProof/>
        </w:rPr>
        <w:t>6. 2003, dodatku č. 4 č. j. KUOK/22783/05/OŠMT/572 ze dne 24. 6. 2005</w:t>
      </w:r>
      <w:r>
        <w:rPr>
          <w:b w:val="0"/>
        </w:rPr>
        <w:t xml:space="preserve">, </w:t>
      </w:r>
      <w:r w:rsidR="006B68CD" w:rsidRPr="006B68CD">
        <w:rPr>
          <w:b w:val="0"/>
        </w:rPr>
        <w:t>dodatku č. 5 č. j. KUOK 93939/2009 ze dne 25. 9. 2009</w:t>
      </w:r>
      <w:r w:rsidR="006B68CD">
        <w:rPr>
          <w:b w:val="0"/>
        </w:rPr>
        <w:t xml:space="preserve"> b</w:t>
      </w:r>
      <w:r>
        <w:rPr>
          <w:b w:val="0"/>
        </w:rPr>
        <w:t>eze změny.</w:t>
      </w:r>
    </w:p>
    <w:p w:rsidR="001F17F0" w:rsidRDefault="001F17F0" w:rsidP="001F17F0">
      <w:pPr>
        <w:pStyle w:val="Bntext-odsazendole"/>
      </w:pPr>
      <w:r>
        <w:lastRenderedPageBreak/>
        <w:t>Tento dodatek nabývá platnosti dnem jeho schválení Zastupitelstvem Olomouckého kraje s účinností od 24. 2. 2012.</w:t>
      </w:r>
    </w:p>
    <w:p w:rsidR="001F17F0" w:rsidRDefault="001F17F0" w:rsidP="001F17F0">
      <w:pPr>
        <w:pStyle w:val="Msto"/>
      </w:pPr>
      <w:r>
        <w:t>V Olomouci dne 24. 2. 2012</w:t>
      </w:r>
    </w:p>
    <w:p w:rsidR="00FE06DE" w:rsidRDefault="00FE06DE" w:rsidP="001F17F0">
      <w:pPr>
        <w:pStyle w:val="Ms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Ing. Martin Tesařík</w:t>
      </w:r>
      <w:r>
        <w:tab/>
      </w:r>
    </w:p>
    <w:p w:rsidR="00954A61" w:rsidRDefault="001F17F0" w:rsidP="001F17F0">
      <w:pPr>
        <w:pStyle w:val="Hejtman-podpis"/>
      </w:pPr>
      <w:r>
        <w:t>hejtman Olomouckého kraje</w:t>
      </w:r>
    </w:p>
    <w:sectPr w:rsidR="00954A61" w:rsidSect="007A1D10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pgNumType w:start="1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7A0" w:rsidRDefault="00D367A0" w:rsidP="00282DAE">
      <w:r>
        <w:separator/>
      </w:r>
    </w:p>
  </w:endnote>
  <w:endnote w:type="continuationSeparator" w:id="0">
    <w:p w:rsidR="00D367A0" w:rsidRDefault="00D367A0" w:rsidP="00282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DAE" w:rsidRPr="00C22F72" w:rsidRDefault="00FE06DE" w:rsidP="00282DAE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282DAE" w:rsidRPr="00C22F72">
      <w:rPr>
        <w:rFonts w:ascii="Arial" w:hAnsi="Arial" w:cs="Arial"/>
        <w:i/>
        <w:sz w:val="20"/>
        <w:szCs w:val="20"/>
      </w:rPr>
      <w:t xml:space="preserve"> Olomouckého kraje 24. </w:t>
    </w:r>
    <w:r>
      <w:rPr>
        <w:rFonts w:ascii="Arial" w:hAnsi="Arial" w:cs="Arial"/>
        <w:i/>
        <w:sz w:val="20"/>
        <w:szCs w:val="20"/>
      </w:rPr>
      <w:t>2</w:t>
    </w:r>
    <w:r w:rsidR="00282DAE" w:rsidRPr="00C22F72">
      <w:rPr>
        <w:rFonts w:ascii="Arial" w:hAnsi="Arial" w:cs="Arial"/>
        <w:i/>
        <w:sz w:val="20"/>
        <w:szCs w:val="20"/>
      </w:rPr>
      <w:t>. 2012</w:t>
    </w:r>
    <w:r w:rsidR="00282DAE" w:rsidRPr="00C22F72">
      <w:rPr>
        <w:rFonts w:ascii="Arial" w:hAnsi="Arial" w:cs="Arial"/>
        <w:i/>
        <w:sz w:val="20"/>
        <w:szCs w:val="20"/>
      </w:rPr>
      <w:tab/>
    </w:r>
    <w:r w:rsidR="00282DAE" w:rsidRPr="00C22F72">
      <w:rPr>
        <w:rFonts w:ascii="Arial" w:hAnsi="Arial" w:cs="Arial"/>
        <w:i/>
        <w:sz w:val="20"/>
        <w:szCs w:val="20"/>
      </w:rPr>
      <w:tab/>
      <w:t>strana</w:t>
    </w:r>
    <w:r w:rsidR="00282DAE" w:rsidRPr="00C22F72">
      <w:rPr>
        <w:rStyle w:val="slostrnky"/>
        <w:rFonts w:ascii="Arial" w:hAnsi="Arial" w:cs="Arial"/>
        <w:i/>
        <w:sz w:val="20"/>
        <w:szCs w:val="20"/>
      </w:rPr>
      <w:t xml:space="preserve"> </w:t>
    </w:r>
    <w:r w:rsidR="00282DAE" w:rsidRPr="00C22F72">
      <w:rPr>
        <w:rStyle w:val="slostrnky"/>
        <w:rFonts w:ascii="Arial" w:hAnsi="Arial" w:cs="Arial"/>
        <w:i/>
        <w:sz w:val="20"/>
        <w:szCs w:val="20"/>
      </w:rPr>
      <w:fldChar w:fldCharType="begin"/>
    </w:r>
    <w:r w:rsidR="00282DAE" w:rsidRPr="00C22F72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282DAE" w:rsidRPr="00C22F72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D001F9">
      <w:rPr>
        <w:rStyle w:val="slostrnky"/>
        <w:rFonts w:ascii="Arial" w:hAnsi="Arial" w:cs="Arial"/>
        <w:i/>
        <w:noProof/>
        <w:sz w:val="20"/>
        <w:szCs w:val="20"/>
      </w:rPr>
      <w:t>19</w:t>
    </w:r>
    <w:r w:rsidR="00282DAE" w:rsidRPr="00C22F72">
      <w:rPr>
        <w:rStyle w:val="slostrnky"/>
        <w:rFonts w:ascii="Arial" w:hAnsi="Arial" w:cs="Arial"/>
        <w:i/>
        <w:sz w:val="20"/>
        <w:szCs w:val="20"/>
      </w:rPr>
      <w:fldChar w:fldCharType="end"/>
    </w:r>
    <w:r w:rsidR="00282DAE" w:rsidRPr="00C22F72">
      <w:rPr>
        <w:rStyle w:val="slostrnky"/>
        <w:rFonts w:ascii="Arial" w:hAnsi="Arial" w:cs="Arial"/>
        <w:i/>
        <w:sz w:val="20"/>
        <w:szCs w:val="20"/>
      </w:rPr>
      <w:t xml:space="preserve"> </w:t>
    </w:r>
    <w:r w:rsidR="00282DAE" w:rsidRPr="00C22F72">
      <w:rPr>
        <w:rStyle w:val="slostrnky"/>
        <w:rFonts w:ascii="Arial" w:hAnsi="Arial" w:cs="Arial"/>
        <w:sz w:val="20"/>
        <w:szCs w:val="20"/>
      </w:rPr>
      <w:t>(</w:t>
    </w:r>
    <w:r w:rsidR="00282DAE" w:rsidRPr="00C22F72">
      <w:rPr>
        <w:rStyle w:val="slostrnky"/>
        <w:rFonts w:ascii="Arial" w:hAnsi="Arial" w:cs="Arial"/>
        <w:i/>
        <w:sz w:val="20"/>
        <w:szCs w:val="20"/>
      </w:rPr>
      <w:t xml:space="preserve">celkem </w:t>
    </w:r>
    <w:r w:rsidR="007A1D10">
      <w:rPr>
        <w:rStyle w:val="slostrnky"/>
        <w:rFonts w:ascii="Arial" w:hAnsi="Arial" w:cs="Arial"/>
        <w:i/>
        <w:sz w:val="20"/>
        <w:szCs w:val="20"/>
      </w:rPr>
      <w:t>20</w:t>
    </w:r>
    <w:r w:rsidR="00282DAE" w:rsidRPr="00C22F72">
      <w:rPr>
        <w:rStyle w:val="slostrnky"/>
        <w:rFonts w:ascii="Arial" w:hAnsi="Arial" w:cs="Arial"/>
        <w:sz w:val="20"/>
        <w:szCs w:val="20"/>
      </w:rPr>
      <w:t>)</w:t>
    </w:r>
  </w:p>
  <w:p w:rsidR="00282DAE" w:rsidRPr="00C22F72" w:rsidRDefault="003E63EB" w:rsidP="00282DAE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11</w:t>
    </w:r>
    <w:r w:rsidR="00282DAE" w:rsidRPr="00C22F72">
      <w:rPr>
        <w:rFonts w:ascii="Arial" w:hAnsi="Arial" w:cs="Arial"/>
        <w:i/>
        <w:sz w:val="20"/>
        <w:szCs w:val="20"/>
      </w:rPr>
      <w:t xml:space="preserve"> – Dodatky zřizovacích listin školských příspěvkových organizací</w:t>
    </w:r>
  </w:p>
  <w:p w:rsidR="00282DAE" w:rsidRPr="00C22F72" w:rsidRDefault="00282DAE" w:rsidP="00282DAE">
    <w:pPr>
      <w:pStyle w:val="Zpat"/>
      <w:rPr>
        <w:rFonts w:ascii="Arial" w:hAnsi="Arial" w:cs="Arial"/>
        <w:sz w:val="20"/>
        <w:szCs w:val="20"/>
      </w:rPr>
    </w:pPr>
    <w:r w:rsidRPr="00C22F72">
      <w:rPr>
        <w:rFonts w:ascii="Arial" w:hAnsi="Arial" w:cs="Arial"/>
        <w:i/>
        <w:sz w:val="20"/>
        <w:szCs w:val="20"/>
      </w:rPr>
      <w:t xml:space="preserve">Příloha č. </w:t>
    </w:r>
    <w:r>
      <w:rPr>
        <w:rFonts w:ascii="Arial" w:hAnsi="Arial" w:cs="Arial"/>
        <w:i/>
        <w:sz w:val="20"/>
        <w:szCs w:val="20"/>
      </w:rPr>
      <w:t>12</w:t>
    </w:r>
    <w:r w:rsidRPr="00C22F72">
      <w:rPr>
        <w:rFonts w:ascii="Arial" w:hAnsi="Arial" w:cs="Arial"/>
        <w:i/>
        <w:sz w:val="20"/>
        <w:szCs w:val="20"/>
      </w:rPr>
      <w:t xml:space="preserve"> – Dodatek</w:t>
    </w:r>
    <w:r>
      <w:rPr>
        <w:rFonts w:ascii="Arial" w:hAnsi="Arial" w:cs="Arial"/>
        <w:i/>
        <w:sz w:val="20"/>
        <w:szCs w:val="20"/>
      </w:rPr>
      <w:t xml:space="preserve"> </w:t>
    </w:r>
    <w:r w:rsidRPr="00C22F72">
      <w:rPr>
        <w:rFonts w:ascii="Arial" w:hAnsi="Arial" w:cs="Arial"/>
        <w:i/>
        <w:sz w:val="20"/>
        <w:szCs w:val="20"/>
      </w:rPr>
      <w:t>č</w:t>
    </w:r>
    <w:r w:rsidR="002A69DB">
      <w:rPr>
        <w:rFonts w:ascii="Arial" w:hAnsi="Arial" w:cs="Arial"/>
        <w:i/>
        <w:sz w:val="20"/>
        <w:szCs w:val="20"/>
      </w:rPr>
      <w:t>.</w:t>
    </w:r>
    <w:r w:rsidRPr="00C22F72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6</w:t>
    </w:r>
    <w:r w:rsidRPr="00C22F72">
      <w:rPr>
        <w:rFonts w:ascii="Arial" w:hAnsi="Arial" w:cs="Arial"/>
        <w:i/>
        <w:sz w:val="20"/>
        <w:szCs w:val="20"/>
      </w:rPr>
      <w:t xml:space="preserve"> ke zřizovací listině </w:t>
    </w:r>
    <w:r>
      <w:rPr>
        <w:rFonts w:ascii="Arial" w:hAnsi="Arial" w:cs="Arial"/>
        <w:i/>
        <w:sz w:val="20"/>
        <w:szCs w:val="20"/>
      </w:rPr>
      <w:t>Střední průmyslové školy, Přerov, Havlíčkova 2</w:t>
    </w:r>
  </w:p>
  <w:p w:rsidR="00282DAE" w:rsidRDefault="00282DA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7A0" w:rsidRDefault="00D367A0" w:rsidP="00282DAE">
      <w:r>
        <w:separator/>
      </w:r>
    </w:p>
  </w:footnote>
  <w:footnote w:type="continuationSeparator" w:id="0">
    <w:p w:rsidR="00D367A0" w:rsidRDefault="00D367A0" w:rsidP="00282D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BF7" w:rsidRPr="00617DE6" w:rsidRDefault="00FE5BF7" w:rsidP="00FE5BF7">
    <w:pPr>
      <w:pStyle w:val="Zhlav"/>
      <w:jc w:val="center"/>
      <w:rPr>
        <w:rFonts w:ascii="Arial" w:hAnsi="Arial" w:cs="Arial"/>
        <w:i/>
      </w:rPr>
    </w:pPr>
    <w:r w:rsidRPr="0046583F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12</w:t>
    </w:r>
    <w:r w:rsidRPr="0046583F">
      <w:rPr>
        <w:rFonts w:ascii="Arial" w:hAnsi="Arial" w:cs="Arial"/>
        <w:i/>
      </w:rPr>
      <w:t xml:space="preserve"> – Dodatek č. </w:t>
    </w:r>
    <w:r>
      <w:rPr>
        <w:rFonts w:ascii="Arial" w:hAnsi="Arial" w:cs="Arial"/>
        <w:i/>
      </w:rPr>
      <w:t>6</w:t>
    </w:r>
    <w:r w:rsidRPr="0046583F">
      <w:rPr>
        <w:rFonts w:ascii="Arial" w:hAnsi="Arial" w:cs="Arial"/>
        <w:i/>
      </w:rPr>
      <w:t xml:space="preserve"> ke zřizovací listině </w:t>
    </w:r>
    <w:r>
      <w:rPr>
        <w:rFonts w:ascii="Arial" w:hAnsi="Arial" w:cs="Arial"/>
        <w:i/>
      </w:rPr>
      <w:t>Střední průmyslové školy, Přerov, Havlíčkova 2</w:t>
    </w:r>
  </w:p>
  <w:p w:rsidR="00FE5BF7" w:rsidRDefault="00FE5BF7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609"/>
    <w:rsid w:val="00035C92"/>
    <w:rsid w:val="001F17F0"/>
    <w:rsid w:val="00282DAE"/>
    <w:rsid w:val="002A69DB"/>
    <w:rsid w:val="003E63EB"/>
    <w:rsid w:val="00603CF9"/>
    <w:rsid w:val="006B68CD"/>
    <w:rsid w:val="007A1D10"/>
    <w:rsid w:val="00954A61"/>
    <w:rsid w:val="00A1017C"/>
    <w:rsid w:val="00B06B1B"/>
    <w:rsid w:val="00B31609"/>
    <w:rsid w:val="00D001F9"/>
    <w:rsid w:val="00D367A0"/>
    <w:rsid w:val="00F37212"/>
    <w:rsid w:val="00FE06DE"/>
    <w:rsid w:val="00FE5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F17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1F17F0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1F17F0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1F17F0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1F17F0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1F17F0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1F17F0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1F17F0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1F17F0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1F17F0"/>
    <w:pPr>
      <w:spacing w:after="24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1F17F0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1F17F0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1F17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282DA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82DA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82DA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82DAE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semiHidden/>
    <w:unhideWhenUsed/>
    <w:rsid w:val="00282DAE"/>
  </w:style>
  <w:style w:type="paragraph" w:styleId="Textbubliny">
    <w:name w:val="Balloon Text"/>
    <w:basedOn w:val="Normln"/>
    <w:link w:val="TextbublinyChar"/>
    <w:uiPriority w:val="99"/>
    <w:semiHidden/>
    <w:unhideWhenUsed/>
    <w:rsid w:val="00603CF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03CF9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F17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1F17F0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1F17F0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1F17F0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1F17F0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1F17F0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1F17F0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1F17F0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1F17F0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1F17F0"/>
    <w:pPr>
      <w:spacing w:after="24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1F17F0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1F17F0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1F17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282DA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82DA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82DA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82DAE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semiHidden/>
    <w:unhideWhenUsed/>
    <w:rsid w:val="00282DAE"/>
  </w:style>
  <w:style w:type="paragraph" w:styleId="Textbubliny">
    <w:name w:val="Balloon Text"/>
    <w:basedOn w:val="Normln"/>
    <w:link w:val="TextbublinyChar"/>
    <w:uiPriority w:val="99"/>
    <w:semiHidden/>
    <w:unhideWhenUsed/>
    <w:rsid w:val="00603CF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03CF9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446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FF822B-F79E-46E9-B3AD-507BD480F2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330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cp:lastPrinted>2012-01-11T13:46:00Z</cp:lastPrinted>
  <dcterms:created xsi:type="dcterms:W3CDTF">2012-01-27T07:03:00Z</dcterms:created>
  <dcterms:modified xsi:type="dcterms:W3CDTF">2012-01-27T07:03:00Z</dcterms:modified>
</cp:coreProperties>
</file>